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  <w:t>我省高标准建设未来乡村助推共同富裕的对策建议</w:t>
      </w:r>
    </w:p>
    <w:p>
      <w:pPr>
        <w:spacing w:line="400" w:lineRule="exact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项目编号： 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  <w:t>22ZK149YB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项目来源：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  <w:t>浙江省哲学社会科学工作办公室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项目调研所发生的交通、住宿费用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  <w:p>
            <w:pPr>
              <w:widowControl/>
              <w:spacing w:before="156" w:beforeLines="50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项目理论及实证研究开展专家论证咨询、资料收集汇总整理产生劳务费用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U1YWM4ZjU5NzNiMGIwY2NjZWRhMDk2YjIxYTcifQ=="/>
  </w:docVars>
  <w:rsids>
    <w:rsidRoot w:val="00F4026D"/>
    <w:rsid w:val="00037452"/>
    <w:rsid w:val="0023064E"/>
    <w:rsid w:val="008A1EDC"/>
    <w:rsid w:val="00AA1664"/>
    <w:rsid w:val="00C37015"/>
    <w:rsid w:val="00E94341"/>
    <w:rsid w:val="00F4026D"/>
    <w:rsid w:val="0C7A48E8"/>
    <w:rsid w:val="16D133E4"/>
    <w:rsid w:val="1C020E9E"/>
    <w:rsid w:val="2F1E6502"/>
    <w:rsid w:val="35F82884"/>
    <w:rsid w:val="367150B4"/>
    <w:rsid w:val="45BD22DC"/>
    <w:rsid w:val="54AC37BA"/>
    <w:rsid w:val="62646E01"/>
    <w:rsid w:val="650F02BC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qFormat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页脚 字符"/>
    <w:basedOn w:val="5"/>
    <w:link w:val="2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431</Characters>
  <Lines>4</Lines>
  <Paragraphs>1</Paragraphs>
  <TotalTime>52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提拉米溯</cp:lastModifiedBy>
  <dcterms:modified xsi:type="dcterms:W3CDTF">2023-10-26T08:39:59Z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2350DBFF64974D89978CB27C1785E2C2</vt:lpwstr>
  </property>
</Properties>
</file>